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2A7" w:rsidRPr="00320717" w:rsidRDefault="00320717" w:rsidP="00320717">
      <w:pPr>
        <w:rPr>
          <w:rFonts w:cs="Arial"/>
          <w:b/>
          <w:sz w:val="20"/>
          <w:szCs w:val="20"/>
        </w:rPr>
      </w:pPr>
      <w:bookmarkStart w:id="0" w:name="_GoBack"/>
      <w:bookmarkEnd w:id="0"/>
      <w:r>
        <w:rPr>
          <w:rFonts w:cs="Arial"/>
          <w:b/>
          <w:sz w:val="20"/>
          <w:szCs w:val="20"/>
        </w:rPr>
        <w:t xml:space="preserve">2.0 </w:t>
      </w:r>
      <w:r>
        <w:rPr>
          <w:rFonts w:cs="Arial"/>
          <w:b/>
          <w:sz w:val="20"/>
          <w:szCs w:val="20"/>
        </w:rPr>
        <w:tab/>
      </w:r>
      <w:r w:rsidR="009E72A7" w:rsidRPr="00320717">
        <w:rPr>
          <w:rFonts w:cs="Arial"/>
          <w:b/>
          <w:sz w:val="20"/>
          <w:szCs w:val="20"/>
        </w:rPr>
        <w:t>PROGRAMME MANAGEMENT</w:t>
      </w:r>
    </w:p>
    <w:p w:rsidR="009E72A7" w:rsidRPr="006449B7" w:rsidRDefault="009E72A7" w:rsidP="009E72A7">
      <w:pPr>
        <w:pStyle w:val="ListParagraph"/>
        <w:ind w:left="680" w:hanging="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Authority's objective is to create a programme management function to ensure all project works (including capital projects) are initiated, managed and delivered to high standards providing overall value for money and that all health and safety requirements are complied with. The Supplier shall ensure projects are:</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initiated in line with the Authority Estates Portfolio Strategy,</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managed and coordinated to ensure minimal disruption to the Authority’s core business,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executed in line with the highest possible levels of health and safety and good industry practice,</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controlled, executed and completed to the good industry standards,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delivered within pre-agreed timescales,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able to demonstrate the projects costs represent market value for money, and;</w:t>
      </w:r>
    </w:p>
    <w:p w:rsidR="009E72A7" w:rsidRPr="006449B7" w:rsidRDefault="009E72A7" w:rsidP="009E72A7">
      <w:pPr>
        <w:pStyle w:val="ListParagraph"/>
        <w:numPr>
          <w:ilvl w:val="2"/>
          <w:numId w:val="3"/>
        </w:numPr>
        <w:ind w:left="709" w:hanging="709"/>
        <w:rPr>
          <w:rFonts w:cs="Arial"/>
          <w:sz w:val="20"/>
          <w:szCs w:val="20"/>
        </w:rPr>
      </w:pPr>
      <w:proofErr w:type="gramStart"/>
      <w:r w:rsidRPr="006449B7">
        <w:rPr>
          <w:rFonts w:cs="Arial"/>
          <w:sz w:val="20"/>
          <w:szCs w:val="20"/>
        </w:rPr>
        <w:t>ensure</w:t>
      </w:r>
      <w:proofErr w:type="gramEnd"/>
      <w:r w:rsidRPr="006449B7">
        <w:rPr>
          <w:rFonts w:cs="Arial"/>
          <w:sz w:val="20"/>
          <w:szCs w:val="20"/>
        </w:rPr>
        <w:t xml:space="preserve"> adherence to the Authority required design standards.</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The Authority will procure a Supply Chain to deliver the Project Services, each member will be classified as an Authority Supply Chain Member and will include but not be limited to: </w:t>
      </w:r>
    </w:p>
    <w:p w:rsidR="009E72A7" w:rsidRPr="006449B7" w:rsidRDefault="009E72A7" w:rsidP="009E72A7">
      <w:pPr>
        <w:pStyle w:val="ListParagraph"/>
        <w:ind w:left="700"/>
        <w:rPr>
          <w:rFonts w:cs="Arial"/>
          <w:sz w:val="20"/>
          <w:szCs w:val="20"/>
        </w:rPr>
      </w:pPr>
    </w:p>
    <w:p w:rsidR="009E72A7" w:rsidRPr="006449B7" w:rsidRDefault="009E72A7" w:rsidP="009E72A7">
      <w:pPr>
        <w:pStyle w:val="ListParagraph"/>
        <w:numPr>
          <w:ilvl w:val="2"/>
          <w:numId w:val="3"/>
        </w:numPr>
        <w:ind w:left="700" w:hanging="700"/>
        <w:rPr>
          <w:rFonts w:cs="Arial"/>
          <w:sz w:val="20"/>
          <w:szCs w:val="20"/>
        </w:rPr>
      </w:pPr>
      <w:r w:rsidRPr="006449B7">
        <w:rPr>
          <w:rFonts w:cs="Arial"/>
          <w:sz w:val="20"/>
          <w:szCs w:val="20"/>
        </w:rPr>
        <w:t>Designers,</w:t>
      </w:r>
    </w:p>
    <w:p w:rsidR="009E72A7" w:rsidRPr="006449B7" w:rsidRDefault="009E72A7" w:rsidP="009E72A7">
      <w:pPr>
        <w:pStyle w:val="ListParagraph"/>
        <w:numPr>
          <w:ilvl w:val="2"/>
          <w:numId w:val="3"/>
        </w:numPr>
        <w:ind w:left="700" w:hanging="700"/>
        <w:rPr>
          <w:rFonts w:cs="Arial"/>
          <w:sz w:val="20"/>
          <w:szCs w:val="20"/>
        </w:rPr>
      </w:pPr>
      <w:r w:rsidRPr="006449B7">
        <w:rPr>
          <w:rFonts w:cs="Arial"/>
          <w:sz w:val="20"/>
          <w:szCs w:val="20"/>
        </w:rPr>
        <w:t xml:space="preserve">Projects delivery main contractors, and; </w:t>
      </w:r>
    </w:p>
    <w:p w:rsidR="009E72A7" w:rsidRPr="006449B7" w:rsidRDefault="009E72A7" w:rsidP="009E72A7">
      <w:pPr>
        <w:pStyle w:val="ListParagraph"/>
        <w:numPr>
          <w:ilvl w:val="2"/>
          <w:numId w:val="3"/>
        </w:numPr>
        <w:ind w:left="700" w:hanging="700"/>
        <w:rPr>
          <w:rFonts w:cs="Arial"/>
          <w:sz w:val="20"/>
          <w:szCs w:val="20"/>
        </w:rPr>
      </w:pPr>
      <w:r w:rsidRPr="006449B7">
        <w:rPr>
          <w:rFonts w:cs="Arial"/>
          <w:sz w:val="20"/>
          <w:szCs w:val="20"/>
        </w:rPr>
        <w:t xml:space="preserve">Equipment and material providers for high value or frequently used items. </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manage this Authority Supply Chain Member and their subcontractors.</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Authority defines “Projects” as two types Capital Works and Life Cycle Projects.</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Capital Works which includes but is not limited to elected expenditure in support of the overall estates strategy where the Authority will be required at regular intervals to relocate office functions, within and to new buildings and carry out dilapidation work on buildings being vacated and disposed of. The works may include, moves &amp; changes (i.e. Churn), divestments / disposal, dilapidations, relocation / new office, rebranding, expansion into new space and reconfiguration work. For the avoidance of doubt, Capital Works will include all project work that is not defined as Life Cycle Work and will require individual spending approval per project.</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Life Cycle Projects which includes all construction, refurbishment activities and work involving replacement of assets or increasing the permanent value of the asset and/or extends its life beyond the originally anticipated life-cycle; ensuring the Authority’s estate is in compliance with all statutory obligations and those projects which are not deemed as Capital Work, and as an entire plan, will be subject to annual approval.</w:t>
      </w:r>
    </w:p>
    <w:p w:rsidR="009E72A7" w:rsidRPr="006449B7" w:rsidRDefault="009E72A7" w:rsidP="009E72A7">
      <w:pPr>
        <w:pStyle w:val="ListParagraph"/>
        <w:ind w:left="0"/>
        <w:rPr>
          <w:rFonts w:cs="Arial"/>
          <w:sz w:val="20"/>
          <w:szCs w:val="20"/>
        </w:rPr>
      </w:pPr>
    </w:p>
    <w:p w:rsidR="009E72A7" w:rsidRPr="006449B7" w:rsidRDefault="009E72A7" w:rsidP="009E72A7">
      <w:pPr>
        <w:pStyle w:val="ListParagraph"/>
        <w:numPr>
          <w:ilvl w:val="1"/>
          <w:numId w:val="3"/>
        </w:numPr>
        <w:ind w:left="0" w:firstLine="0"/>
        <w:rPr>
          <w:rFonts w:cs="Arial"/>
          <w:sz w:val="20"/>
          <w:szCs w:val="20"/>
        </w:rPr>
      </w:pPr>
      <w:r w:rsidRPr="006449B7">
        <w:rPr>
          <w:rFonts w:cs="Arial"/>
          <w:sz w:val="20"/>
          <w:szCs w:val="20"/>
        </w:rPr>
        <w:t>Both Capital Works and Life Cycle Projects do not include:</w:t>
      </w:r>
    </w:p>
    <w:p w:rsidR="009E72A7" w:rsidRPr="006449B7" w:rsidRDefault="009E72A7" w:rsidP="009E72A7">
      <w:pPr>
        <w:pStyle w:val="ListParagraph"/>
        <w:ind w:left="360"/>
        <w:rPr>
          <w:rFonts w:cs="Arial"/>
          <w:sz w:val="20"/>
          <w:szCs w:val="20"/>
        </w:rPr>
      </w:pPr>
    </w:p>
    <w:p w:rsidR="009E72A7" w:rsidRPr="006449B7" w:rsidRDefault="009E72A7" w:rsidP="009E72A7">
      <w:pPr>
        <w:pStyle w:val="ListParagraph"/>
        <w:numPr>
          <w:ilvl w:val="3"/>
          <w:numId w:val="4"/>
        </w:numPr>
        <w:ind w:hanging="578"/>
        <w:rPr>
          <w:rFonts w:cs="Arial"/>
          <w:sz w:val="20"/>
          <w:szCs w:val="20"/>
        </w:rPr>
      </w:pPr>
      <w:r w:rsidRPr="006449B7">
        <w:rPr>
          <w:rFonts w:cs="Arial"/>
          <w:sz w:val="20"/>
          <w:szCs w:val="20"/>
        </w:rPr>
        <w:t>Projects which predominately include technology change and would be led and funded by the Technology function within the Authority,</w:t>
      </w:r>
    </w:p>
    <w:p w:rsidR="009E72A7" w:rsidRPr="006449B7" w:rsidRDefault="009E72A7" w:rsidP="009E72A7">
      <w:pPr>
        <w:pStyle w:val="ListParagraph"/>
        <w:numPr>
          <w:ilvl w:val="3"/>
          <w:numId w:val="4"/>
        </w:numPr>
        <w:ind w:hanging="578"/>
        <w:rPr>
          <w:rFonts w:cs="Arial"/>
          <w:sz w:val="20"/>
          <w:szCs w:val="20"/>
        </w:rPr>
      </w:pPr>
      <w:r w:rsidRPr="006449B7">
        <w:rPr>
          <w:rFonts w:cs="Arial"/>
          <w:sz w:val="20"/>
          <w:szCs w:val="20"/>
        </w:rPr>
        <w:t>Projects which predominately include security systems change and would be led and funded by the Authority Supply Chain Member responsible for Security,</w:t>
      </w:r>
    </w:p>
    <w:p w:rsidR="009E72A7" w:rsidRPr="006449B7" w:rsidRDefault="009E72A7" w:rsidP="009E72A7">
      <w:pPr>
        <w:pStyle w:val="ListParagraph"/>
        <w:numPr>
          <w:ilvl w:val="3"/>
          <w:numId w:val="4"/>
        </w:numPr>
        <w:ind w:hanging="578"/>
        <w:rPr>
          <w:rFonts w:cs="Arial"/>
          <w:sz w:val="20"/>
          <w:szCs w:val="20"/>
        </w:rPr>
      </w:pPr>
      <w:r w:rsidRPr="006449B7">
        <w:rPr>
          <w:sz w:val="20"/>
          <w:szCs w:val="20"/>
        </w:rPr>
        <w:t>Reactive Maintenance Works below the Comprehensive Liability Threshold, and;</w:t>
      </w:r>
    </w:p>
    <w:p w:rsidR="009E72A7" w:rsidRPr="006449B7" w:rsidRDefault="009E72A7" w:rsidP="009E72A7">
      <w:pPr>
        <w:pStyle w:val="ListParagraph"/>
        <w:numPr>
          <w:ilvl w:val="3"/>
          <w:numId w:val="4"/>
        </w:numPr>
        <w:ind w:hanging="578"/>
        <w:rPr>
          <w:rFonts w:cs="Arial"/>
          <w:sz w:val="20"/>
          <w:szCs w:val="20"/>
        </w:rPr>
      </w:pPr>
      <w:r w:rsidRPr="006449B7">
        <w:rPr>
          <w:rFonts w:cs="Arial"/>
          <w:sz w:val="20"/>
          <w:szCs w:val="20"/>
        </w:rPr>
        <w:t>Rent, rates, service charges, and payments made to landlords to surrender building leases.</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ind w:left="709"/>
        <w:rPr>
          <w:rFonts w:cs="Arial"/>
          <w:i/>
          <w:sz w:val="20"/>
          <w:szCs w:val="20"/>
        </w:rPr>
      </w:pPr>
      <w:r w:rsidRPr="006449B7">
        <w:rPr>
          <w:rFonts w:cs="Arial"/>
          <w:i/>
          <w:sz w:val="20"/>
          <w:szCs w:val="20"/>
        </w:rPr>
        <w:t xml:space="preserve">[For information only. Details of the Authority’s historic Capital Works type projects spend and future Life Cycle Works forecast spend is </w:t>
      </w:r>
      <w:r w:rsidRPr="006449B7">
        <w:rPr>
          <w:i/>
          <w:sz w:val="20"/>
          <w:szCs w:val="20"/>
        </w:rPr>
        <w:t xml:space="preserve">as advised in the Virtual Data Room as available on </w:t>
      </w:r>
      <w:r w:rsidRPr="006449B7">
        <w:rPr>
          <w:i/>
          <w:sz w:val="20"/>
          <w:szCs w:val="20"/>
        </w:rPr>
        <w:lastRenderedPageBreak/>
        <w:t>the Authority’s e-procurement portal. Bravo</w:t>
      </w:r>
      <w:r w:rsidRPr="006449B7">
        <w:rPr>
          <w:rFonts w:cs="Arial"/>
          <w:i/>
          <w:sz w:val="20"/>
          <w:szCs w:val="20"/>
        </w:rPr>
        <w:t>. Unfortunately, a future view of the likely spend on projects (cap-ex and other) cannot be provided at this time.]</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 xml:space="preserve">In the delivery of the programme management function, the Authority shall have minimal involvement in the day to day management of projects but will define the project requirements/brief and approve and allocate budgets prepared by the Supplier. The Authority shall also approve expenditure on any additional work that may be required on a project. </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Provide the programme management function on behalf of the Authority including the on-going development and management of a projects plan detailing all the anticipated, forecasted and planned projects the Authority is committed to and other projects as they arise. This will include a full programme management function, allocation of project work, management of projects and cost management for life cycle works, (for all other project types, cost management will be undertaken by the Authority Supply Chain Member responsible for Projects).</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During the Implementation Phase, (at the time stated in</w:t>
      </w:r>
      <w:r>
        <w:rPr>
          <w:rFonts w:cs="Arial"/>
          <w:sz w:val="20"/>
          <w:szCs w:val="20"/>
        </w:rPr>
        <w:t xml:space="preserve"> SOR</w:t>
      </w:r>
      <w:r w:rsidRPr="006449B7">
        <w:rPr>
          <w:rFonts w:cs="Arial"/>
          <w:sz w:val="20"/>
          <w:szCs w:val="20"/>
        </w:rPr>
        <w:t xml:space="preserve"> Annex A), the Supplier shall provide for Approval by the Authority a “Programme Management Detailed Solution”. An indicative list of items to be included in this Detailed Solution is included in </w:t>
      </w:r>
      <w:r>
        <w:rPr>
          <w:rFonts w:cs="Arial"/>
          <w:sz w:val="20"/>
          <w:szCs w:val="20"/>
        </w:rPr>
        <w:t xml:space="preserve">SOR </w:t>
      </w:r>
      <w:r w:rsidRPr="006449B7">
        <w:rPr>
          <w:rFonts w:cs="Arial"/>
          <w:sz w:val="20"/>
          <w:szCs w:val="20"/>
        </w:rPr>
        <w:t>Annex A.</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Once </w:t>
      </w:r>
      <w:proofErr w:type="gramStart"/>
      <w:r w:rsidRPr="006449B7">
        <w:rPr>
          <w:rFonts w:cs="Arial"/>
          <w:sz w:val="20"/>
          <w:szCs w:val="20"/>
        </w:rPr>
        <w:t>Approved</w:t>
      </w:r>
      <w:proofErr w:type="gramEnd"/>
      <w:r w:rsidRPr="006449B7">
        <w:rPr>
          <w:rFonts w:cs="Arial"/>
          <w:sz w:val="20"/>
          <w:szCs w:val="20"/>
        </w:rPr>
        <w:t xml:space="preserve"> by the Authority, the Supplier shall execute, deliver and manage the Programme Management Detailed Solution in line with the values and behaviours referred to in Section 3.</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review the Programme Management Detailed Solution at least annually and make recommendations for improvements to the Authority for Approval within twenty (20) Working Days from review. The review shall be undertaken in spirit of continuous improvement and assurance of project delivery for the Authority. The Authority may require the Supplier to make amendments to the Programme Management Detailed Solution at times outside of the annual review where such amendments will take immediate effect.</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provide all guidance necessary to the Authority to enable the Authority Supply Chain Member delivering the Project Services to ensure compliance to the Programme Management Detailed Solution.</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As part of the Programme Management Detailed Solution, the Supplier shall provide all required project planning, work scheduling and coordination with other Authority Supply Chain Members and other third parties to ensure efficient and effective delivery of both life cycle plans projects and other types of projects including but not limited to:</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2"/>
          <w:numId w:val="5"/>
        </w:numPr>
        <w:ind w:left="709" w:hanging="709"/>
        <w:rPr>
          <w:rFonts w:cs="Arial"/>
          <w:sz w:val="20"/>
          <w:szCs w:val="20"/>
        </w:rPr>
      </w:pPr>
      <w:r w:rsidRPr="006449B7">
        <w:rPr>
          <w:rFonts w:cs="Arial"/>
          <w:sz w:val="20"/>
          <w:szCs w:val="20"/>
        </w:rPr>
        <w:t>a reporting tool that plans and monitors the forecast and actual project programme activities and expenditure with estimated profit and loss impact of the programme;</w:t>
      </w:r>
    </w:p>
    <w:p w:rsidR="009E72A7" w:rsidRPr="006449B7" w:rsidRDefault="009E72A7" w:rsidP="009E72A7">
      <w:pPr>
        <w:pStyle w:val="ListParagraph"/>
        <w:numPr>
          <w:ilvl w:val="2"/>
          <w:numId w:val="5"/>
        </w:numPr>
        <w:ind w:left="709" w:hanging="709"/>
        <w:rPr>
          <w:rFonts w:cs="Arial"/>
          <w:sz w:val="20"/>
          <w:szCs w:val="20"/>
        </w:rPr>
      </w:pPr>
      <w:r w:rsidRPr="006449B7">
        <w:rPr>
          <w:rFonts w:cs="Arial"/>
          <w:sz w:val="20"/>
          <w:szCs w:val="20"/>
        </w:rPr>
        <w:t>monthly status reports on current and forecasted capital works assets under construction and associated spend forecasts;</w:t>
      </w:r>
    </w:p>
    <w:p w:rsidR="009E72A7" w:rsidRPr="006449B7" w:rsidRDefault="009E72A7" w:rsidP="009E72A7">
      <w:pPr>
        <w:pStyle w:val="ListParagraph"/>
        <w:numPr>
          <w:ilvl w:val="2"/>
          <w:numId w:val="5"/>
        </w:numPr>
        <w:ind w:left="709" w:hanging="709"/>
        <w:rPr>
          <w:rFonts w:cs="Arial"/>
          <w:sz w:val="20"/>
          <w:szCs w:val="20"/>
        </w:rPr>
      </w:pPr>
      <w:r w:rsidRPr="006449B7">
        <w:rPr>
          <w:rFonts w:cs="Arial"/>
          <w:sz w:val="20"/>
          <w:szCs w:val="20"/>
        </w:rPr>
        <w:t>developing and managing systems that capture and utilise in planning accurate benchmark data on current construction costs;</w:t>
      </w:r>
    </w:p>
    <w:p w:rsidR="009E72A7" w:rsidRPr="006449B7" w:rsidRDefault="009E72A7" w:rsidP="009E72A7">
      <w:pPr>
        <w:pStyle w:val="ListParagraph"/>
        <w:numPr>
          <w:ilvl w:val="2"/>
          <w:numId w:val="5"/>
        </w:numPr>
        <w:ind w:left="709" w:hanging="709"/>
        <w:rPr>
          <w:rFonts w:cs="Arial"/>
          <w:sz w:val="20"/>
          <w:szCs w:val="20"/>
        </w:rPr>
      </w:pPr>
      <w:r w:rsidRPr="006449B7">
        <w:rPr>
          <w:rFonts w:cs="Arial"/>
          <w:sz w:val="20"/>
          <w:szCs w:val="20"/>
        </w:rPr>
        <w:t>developing and managing  a project prioritisation methodology based on different building classifications covering statutory, mandatory, required, recommended and optional project ratings to ensure all projects are correctly prioritised to mitigate risk and disruption to the Authority Core Business;</w:t>
      </w:r>
    </w:p>
    <w:p w:rsidR="009E72A7" w:rsidRPr="006449B7" w:rsidRDefault="009E72A7" w:rsidP="009E72A7">
      <w:pPr>
        <w:pStyle w:val="ListParagraph"/>
        <w:numPr>
          <w:ilvl w:val="2"/>
          <w:numId w:val="5"/>
        </w:numPr>
        <w:ind w:left="709" w:hanging="709"/>
        <w:rPr>
          <w:rFonts w:cs="Arial"/>
          <w:sz w:val="20"/>
          <w:szCs w:val="20"/>
        </w:rPr>
      </w:pPr>
      <w:r w:rsidRPr="006449B7">
        <w:rPr>
          <w:rFonts w:cs="Arial"/>
          <w:sz w:val="20"/>
          <w:szCs w:val="20"/>
        </w:rPr>
        <w:lastRenderedPageBreak/>
        <w:t>coordinating Projects with other maintenance activity to enable full benefits of efficiencies across the Authority Supply Chain Contracts and to reduce disruption of the Authority Core Business by capturing and monitoring impacts and dependencies; and</w:t>
      </w:r>
    </w:p>
    <w:p w:rsidR="009E72A7" w:rsidRPr="006449B7" w:rsidRDefault="009E72A7" w:rsidP="009E72A7">
      <w:pPr>
        <w:pStyle w:val="ListParagraph"/>
        <w:numPr>
          <w:ilvl w:val="2"/>
          <w:numId w:val="5"/>
        </w:numPr>
        <w:ind w:left="709" w:hanging="709"/>
        <w:rPr>
          <w:rFonts w:cs="Arial"/>
          <w:sz w:val="20"/>
          <w:szCs w:val="20"/>
        </w:rPr>
      </w:pPr>
      <w:proofErr w:type="gramStart"/>
      <w:r w:rsidRPr="006449B7">
        <w:rPr>
          <w:rFonts w:cs="Arial"/>
          <w:sz w:val="20"/>
          <w:szCs w:val="20"/>
        </w:rPr>
        <w:t>liaising</w:t>
      </w:r>
      <w:proofErr w:type="gramEnd"/>
      <w:r w:rsidRPr="006449B7">
        <w:rPr>
          <w:rFonts w:cs="Arial"/>
          <w:sz w:val="20"/>
          <w:szCs w:val="20"/>
        </w:rPr>
        <w:t xml:space="preserve"> with the Authority Supply Chain Member responsible for Lease and Landlord Management and where necessary, landlords and tenant (directly) in order to gain any consents required and issuing of any notices required.</w:t>
      </w:r>
    </w:p>
    <w:p w:rsidR="009E72A7" w:rsidRPr="006449B7" w:rsidRDefault="009E72A7" w:rsidP="009E72A7">
      <w:pPr>
        <w:ind w:firstLine="680"/>
        <w:rPr>
          <w:rFonts w:cs="Arial"/>
          <w:sz w:val="20"/>
          <w:szCs w:val="20"/>
        </w:rPr>
      </w:pPr>
      <w:r w:rsidRPr="006449B7">
        <w:rPr>
          <w:rFonts w:cs="Arial"/>
          <w:sz w:val="20"/>
          <w:szCs w:val="20"/>
        </w:rPr>
        <w:t>AUTHORITY DESIGN STANDARDS</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assist in the regular review of the Authority’s Design Standards and provide recommendations, amendments and/or enhancements that improve overall value for money for the Authority and which:</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consolidate spend and aggregate volume on commodities and services;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establish capped maximum rates with approved suppliers;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ensure stock levels are held regionally to speed-up project delivery;</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standardise the use of components while meeting the Authority Design Standards to gain economies of scale and consistency of visual look and feel;</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support the Authority “Smart Working Programme” with product catalogues providing a uniform flexible space / zone functions;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provides a baseline for assessing legacy Assets including setting parameters that establish when it is economically viable / acceptable to the Authority to replace legacy Assets; and</w:t>
      </w:r>
    </w:p>
    <w:p w:rsidR="009E72A7" w:rsidRPr="006449B7" w:rsidRDefault="009E72A7" w:rsidP="009E72A7">
      <w:pPr>
        <w:pStyle w:val="ListParagraph"/>
        <w:numPr>
          <w:ilvl w:val="2"/>
          <w:numId w:val="3"/>
        </w:numPr>
        <w:ind w:left="709" w:hanging="709"/>
        <w:rPr>
          <w:rFonts w:cs="Arial"/>
          <w:sz w:val="20"/>
          <w:szCs w:val="20"/>
        </w:rPr>
      </w:pPr>
      <w:proofErr w:type="gramStart"/>
      <w:r w:rsidRPr="006449B7">
        <w:rPr>
          <w:sz w:val="20"/>
        </w:rPr>
        <w:t>reduce</w:t>
      </w:r>
      <w:proofErr w:type="gramEnd"/>
      <w:r w:rsidRPr="006449B7">
        <w:rPr>
          <w:sz w:val="20"/>
        </w:rPr>
        <w:t xml:space="preserve"> cost and time for project design teams.</w:t>
      </w:r>
    </w:p>
    <w:p w:rsidR="009E72A7" w:rsidRPr="006449B7" w:rsidRDefault="009E72A7" w:rsidP="009E72A7">
      <w:pPr>
        <w:ind w:firstLine="709"/>
        <w:rPr>
          <w:sz w:val="20"/>
        </w:rPr>
      </w:pPr>
      <w:r w:rsidRPr="006449B7">
        <w:rPr>
          <w:sz w:val="20"/>
        </w:rPr>
        <w:t>DESIGN COMMODITIES</w:t>
      </w:r>
    </w:p>
    <w:p w:rsidR="009E72A7" w:rsidRPr="006449B7" w:rsidRDefault="009E72A7" w:rsidP="009E72A7">
      <w:pPr>
        <w:pStyle w:val="ListParagraph"/>
        <w:numPr>
          <w:ilvl w:val="1"/>
          <w:numId w:val="3"/>
        </w:numPr>
        <w:ind w:left="709" w:hanging="709"/>
        <w:rPr>
          <w:sz w:val="20"/>
        </w:rPr>
      </w:pPr>
      <w:r w:rsidRPr="006449B7">
        <w:rPr>
          <w:sz w:val="20"/>
        </w:rPr>
        <w:t>The Authority shall, (via a CCS and/or other public sector framework agreement), procure the supply of core commodities to support office design standards e.g. carpet, furniture. The Supplier will be responsible for ensuring the relevant commodity agreements are used in support of the delivery of projects.</w:t>
      </w:r>
    </w:p>
    <w:p w:rsidR="009E72A7" w:rsidRPr="006449B7" w:rsidRDefault="009E72A7" w:rsidP="009E72A7">
      <w:pPr>
        <w:pStyle w:val="ListParagraph"/>
        <w:ind w:left="709"/>
        <w:rPr>
          <w:sz w:val="20"/>
        </w:rPr>
      </w:pPr>
    </w:p>
    <w:p w:rsidR="009E72A7" w:rsidRPr="006449B7" w:rsidRDefault="009E72A7" w:rsidP="009E72A7">
      <w:pPr>
        <w:pStyle w:val="ListParagraph"/>
        <w:ind w:left="709"/>
        <w:rPr>
          <w:sz w:val="20"/>
        </w:rPr>
      </w:pPr>
      <w:r w:rsidRPr="006449B7">
        <w:rPr>
          <w:sz w:val="20"/>
        </w:rPr>
        <w:t>PROFESSIONAL SERVICES FOR CONSTRUCTION</w:t>
      </w:r>
    </w:p>
    <w:p w:rsidR="009E72A7" w:rsidRPr="006449B7" w:rsidRDefault="009E72A7" w:rsidP="009E72A7">
      <w:pPr>
        <w:pStyle w:val="ListParagraph"/>
        <w:rPr>
          <w:sz w:val="20"/>
        </w:rPr>
      </w:pPr>
    </w:p>
    <w:p w:rsidR="009E72A7" w:rsidRPr="006449B7" w:rsidRDefault="009E72A7" w:rsidP="009E72A7">
      <w:pPr>
        <w:pStyle w:val="ListParagraph"/>
        <w:numPr>
          <w:ilvl w:val="1"/>
          <w:numId w:val="3"/>
        </w:numPr>
        <w:ind w:left="709" w:hanging="709"/>
        <w:rPr>
          <w:sz w:val="20"/>
        </w:rPr>
      </w:pPr>
      <w:r w:rsidRPr="006449B7">
        <w:rPr>
          <w:sz w:val="20"/>
        </w:rPr>
        <w:t xml:space="preserve">The Authority shall, (via a Crown Commercial Service (CCS) framework agreement and/or other public sector framework agreement), procure an approved list of consultants to support Projects. Typically this will cover key construction related disciplines, for example, Project and Cost Managers, Architects, Mechanical and Electrical design consultants and commissioning engineers. The approved consultants shall form part of the Authority Supply Chain Members. The Supplier shall ensure all the required professional Services and duties to support a specific project are appropriately allocated across the Authority Supply Chain Members providing the most effective solution in accordance with the same work allocation criteria stated in </w:t>
      </w:r>
      <w:r>
        <w:rPr>
          <w:sz w:val="20"/>
        </w:rPr>
        <w:t>14.20 to 14.22 of this Statement of Requirement.</w:t>
      </w:r>
    </w:p>
    <w:p w:rsidR="009E72A7" w:rsidRPr="006449B7" w:rsidRDefault="009E72A7" w:rsidP="009E72A7">
      <w:pPr>
        <w:pStyle w:val="ListParagraph"/>
        <w:ind w:left="709"/>
        <w:rPr>
          <w:sz w:val="20"/>
        </w:rPr>
      </w:pPr>
    </w:p>
    <w:p w:rsidR="009E72A7" w:rsidRPr="006449B7" w:rsidRDefault="009E72A7" w:rsidP="009E72A7">
      <w:pPr>
        <w:pStyle w:val="ListParagraph"/>
        <w:numPr>
          <w:ilvl w:val="1"/>
          <w:numId w:val="3"/>
        </w:numPr>
        <w:ind w:left="709" w:hanging="709"/>
        <w:rPr>
          <w:sz w:val="20"/>
        </w:rPr>
      </w:pPr>
      <w:r w:rsidRPr="006449B7">
        <w:rPr>
          <w:rFonts w:cs="Arial"/>
          <w:sz w:val="20"/>
          <w:szCs w:val="20"/>
        </w:rPr>
        <w:t>The Supplier shall ensure all the required professional Services and duties to support a specific project are appropriately allocated across the Authority Supply Chain Members providing the most effective solution in accordance with the Agreed work allocation methodology.</w:t>
      </w:r>
    </w:p>
    <w:p w:rsidR="009E72A7" w:rsidRPr="006449B7" w:rsidRDefault="009E72A7" w:rsidP="009E72A7">
      <w:pPr>
        <w:pStyle w:val="ListParagraph"/>
        <w:rPr>
          <w:rFonts w:cs="Arial"/>
          <w:sz w:val="20"/>
          <w:szCs w:val="20"/>
        </w:rPr>
      </w:pPr>
    </w:p>
    <w:p w:rsidR="009E72A7" w:rsidRPr="006449B7" w:rsidRDefault="009E72A7" w:rsidP="009E72A7">
      <w:pPr>
        <w:pStyle w:val="ListParagraph"/>
        <w:ind w:left="709"/>
        <w:rPr>
          <w:sz w:val="20"/>
        </w:rPr>
      </w:pPr>
      <w:r w:rsidRPr="006449B7">
        <w:rPr>
          <w:rFonts w:cs="Arial"/>
          <w:sz w:val="20"/>
          <w:szCs w:val="20"/>
        </w:rPr>
        <w:t>ALLOCATION OF PROJECTS</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 xml:space="preserve">Upon initiation of a project, (once Approved by the Authority), for projects with a value to be agreed with the Authority, the Supplier shall ensure all the required Services and duties to support a specific project are appropriately allocated across the Authority Supply Chain </w:t>
      </w:r>
      <w:r w:rsidRPr="006449B7">
        <w:rPr>
          <w:rFonts w:cs="Arial"/>
          <w:sz w:val="20"/>
          <w:szCs w:val="20"/>
        </w:rPr>
        <w:lastRenderedPageBreak/>
        <w:t xml:space="preserve">Members providing the most effective solution with compliance to all health and safety and relevant regulations. This may include bundling of specific projects into mini-programmes in order to benefit from economies of scale; and/or reducing the number of individual separate project work orders / contract transactions where there are high volume of projects similar in nature and to minimise disruption to the Authority’s core business. </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The Authority shall establish, (via an OJEU Procurement Process), an Estates Contractor framework to support the irregular levels in volume and significant range in value of projects and range of capital work types across its large estate portfolio. The Authority recognises that other Authority Supply Chain Members (for example the FM services provider) should be well-placed to effectively deliver some of the simple, low value life cycle and minor work projects where it can demonstrate value for money.</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The project work allocation methodology to be applied in determining whether simple, low value, life cycle fit-out projects will be allocated will be set and governed by the Authority and managed by the Supplier. It is anticipated that the criteria will include, but not be limited to:</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Supplier capacity at the time the project needs allocating,</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Project geographical location,</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Project scope (e.g. predominant trade discipline required) and level of complexity),</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Ability to demonstrate market value for money, and;</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Such other criteria as may be relevant to the Employer’s business requirements at the material time.</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ind w:left="709"/>
        <w:rPr>
          <w:sz w:val="20"/>
          <w:szCs w:val="20"/>
        </w:rPr>
      </w:pPr>
      <w:r w:rsidRPr="006449B7">
        <w:rPr>
          <w:sz w:val="20"/>
          <w:szCs w:val="20"/>
        </w:rPr>
        <w:t>PROCUREMENT OF HIGH VALUE PROJECTS</w:t>
      </w:r>
    </w:p>
    <w:p w:rsidR="009E72A7" w:rsidRPr="006449B7" w:rsidRDefault="009E72A7" w:rsidP="009E72A7">
      <w:pPr>
        <w:pStyle w:val="ListParagraph"/>
        <w:ind w:left="709"/>
        <w:rPr>
          <w:sz w:val="20"/>
          <w:szCs w:val="20"/>
        </w:rPr>
      </w:pPr>
    </w:p>
    <w:p w:rsidR="009E72A7" w:rsidRPr="006449B7" w:rsidRDefault="009E72A7" w:rsidP="009E72A7">
      <w:pPr>
        <w:pStyle w:val="ListParagraph"/>
        <w:numPr>
          <w:ilvl w:val="1"/>
          <w:numId w:val="3"/>
        </w:numPr>
        <w:ind w:left="709" w:hanging="709"/>
        <w:rPr>
          <w:sz w:val="20"/>
          <w:szCs w:val="20"/>
        </w:rPr>
      </w:pPr>
      <w:r w:rsidRPr="006449B7">
        <w:rPr>
          <w:rFonts w:cs="Arial"/>
          <w:sz w:val="20"/>
          <w:szCs w:val="20"/>
        </w:rPr>
        <w:t xml:space="preserve">For projects with a high value, (to be advised by the Authority,) the Supplier shall tender this work with the Authority Supply Chain Members and award of contracts based on the ability to demonstrate to the Authority market competitive value for money whereby the procurement route and recommendation for contract award to be Approved by the Authority prior to the procurement being undertaken and the subsequent award being made.  </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ind w:left="680"/>
        <w:rPr>
          <w:sz w:val="20"/>
          <w:szCs w:val="20"/>
        </w:rPr>
      </w:pPr>
      <w:r w:rsidRPr="006449B7">
        <w:rPr>
          <w:rFonts w:cs="Arial"/>
          <w:sz w:val="20"/>
          <w:szCs w:val="20"/>
        </w:rPr>
        <w:t>PROJECT RISK MANAGEMENT</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Other than those projects relating to security services or systems, (that will be dealt with by the Authority Supply Chain Member responsible for Security), the Supplier shall provide an initial risk assessment of potential projects during the feasibility stage and ensure these are registered as part of the business case and project Approvals process. Once the project is approved it will be the responsibility of the appointed Authority Supply Chain Member(s) to manage and mitigate the risks associated with delivery of the individual project.</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The Supplier shall create, manage and govern a central register which will identify and manage programme risks (the </w:t>
      </w:r>
      <w:r w:rsidRPr="006449B7">
        <w:rPr>
          <w:rFonts w:cs="Arial"/>
          <w:b/>
          <w:sz w:val="20"/>
          <w:szCs w:val="20"/>
        </w:rPr>
        <w:t>Programme Risk Register</w:t>
      </w:r>
      <w:r w:rsidRPr="006449B7">
        <w:rPr>
          <w:rFonts w:cs="Arial"/>
          <w:sz w:val="20"/>
          <w:szCs w:val="20"/>
        </w:rPr>
        <w:t>). The Supplier shall be responsible for collating individual project risk registers from the Authority Supply Chain Member in order to compile the Programme Risk Register. All risks shall be prioritised according to criteria to be agreed with the Authority) and any high level, serious, major risks of those impacting the Programme (as differentiated from those unique to an individual project) shall be escalated to the Authority.</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ind w:left="680"/>
        <w:rPr>
          <w:rFonts w:cs="Arial"/>
          <w:sz w:val="20"/>
          <w:szCs w:val="20"/>
        </w:rPr>
      </w:pPr>
      <w:r w:rsidRPr="006449B7">
        <w:rPr>
          <w:rFonts w:cs="Arial"/>
          <w:sz w:val="20"/>
          <w:szCs w:val="20"/>
        </w:rPr>
        <w:t>SAFETY MANAGEMENT</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The Supplier is responsible for providing and managing an electronic system to  ensure all Authority Supply Chain Members have pre-authorised access to the Authority properties with all documentation verifying they are fully qualified, insured and accredited to undertake the work with all necessary health and safety plans (the </w:t>
      </w:r>
      <w:r w:rsidRPr="006449B7">
        <w:rPr>
          <w:rFonts w:cs="Arial"/>
          <w:b/>
          <w:sz w:val="20"/>
          <w:szCs w:val="20"/>
        </w:rPr>
        <w:t>Permit to Work System</w:t>
      </w:r>
      <w:r w:rsidRPr="006449B7">
        <w:rPr>
          <w:rFonts w:cs="Arial"/>
          <w:sz w:val="20"/>
          <w:szCs w:val="20"/>
        </w:rPr>
        <w:t>). The Permit to Work System must ensure there is minimal risk of injury to people, damage to the property, disruption to the business and not compromising security by meeting full compliance to all relevant Government and industry regulations.</w:t>
      </w:r>
    </w:p>
    <w:p w:rsidR="009E72A7" w:rsidRPr="006449B7" w:rsidRDefault="009E72A7" w:rsidP="009E72A7">
      <w:pPr>
        <w:pStyle w:val="ListParagraph"/>
        <w:rPr>
          <w:rFonts w:eastAsia="Times New Roman" w:cs="Arial"/>
          <w:kern w:val="36"/>
          <w:sz w:val="20"/>
          <w:szCs w:val="20"/>
          <w:lang w:eastAsia="en-GB"/>
        </w:rPr>
      </w:pPr>
    </w:p>
    <w:p w:rsidR="009E72A7" w:rsidRPr="006449B7" w:rsidRDefault="009E72A7" w:rsidP="009E72A7">
      <w:pPr>
        <w:pStyle w:val="ListParagraph"/>
        <w:ind w:left="680"/>
        <w:rPr>
          <w:rFonts w:cs="Arial"/>
          <w:sz w:val="20"/>
          <w:szCs w:val="20"/>
        </w:rPr>
      </w:pPr>
      <w:r w:rsidRPr="006449B7">
        <w:rPr>
          <w:rFonts w:eastAsia="Times New Roman" w:cs="Arial"/>
          <w:kern w:val="36"/>
          <w:sz w:val="20"/>
          <w:szCs w:val="20"/>
          <w:lang w:eastAsia="en-GB"/>
        </w:rPr>
        <w:t>CONSTRUCTION (DESIGN MANAGEMENT)</w:t>
      </w:r>
    </w:p>
    <w:p w:rsidR="009E72A7" w:rsidRPr="006449B7" w:rsidRDefault="009E72A7" w:rsidP="009E72A7">
      <w:pPr>
        <w:pStyle w:val="ListParagraph"/>
        <w:rPr>
          <w:rFonts w:eastAsia="Times New Roman" w:cs="Arial"/>
          <w:kern w:val="36"/>
          <w:sz w:val="20"/>
          <w:szCs w:val="20"/>
          <w:lang w:eastAsia="en-GB"/>
        </w:rPr>
      </w:pPr>
    </w:p>
    <w:p w:rsidR="009E72A7" w:rsidRPr="006449B7" w:rsidRDefault="009E72A7" w:rsidP="009E72A7">
      <w:pPr>
        <w:pStyle w:val="ListParagraph"/>
        <w:numPr>
          <w:ilvl w:val="1"/>
          <w:numId w:val="3"/>
        </w:numPr>
        <w:ind w:left="680" w:hanging="680"/>
        <w:rPr>
          <w:rFonts w:cs="Arial"/>
          <w:sz w:val="20"/>
          <w:szCs w:val="20"/>
        </w:rPr>
      </w:pPr>
      <w:r w:rsidRPr="006449B7">
        <w:rPr>
          <w:rFonts w:eastAsia="Times New Roman" w:cs="Arial"/>
          <w:kern w:val="36"/>
          <w:sz w:val="20"/>
          <w:szCs w:val="20"/>
          <w:lang w:eastAsia="en-GB"/>
        </w:rPr>
        <w:t>The Supplier shall discharge the Authority obligations, (as defined as the “client”) under the Construction (Design and Management) Regulations 2015; ensuring projects are suitably managed, ensuring the health and safety of all who might be affected by the work, including members of the public, and;</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sensibly plan all projects so the risks involved are managed from project start to completion,</w:t>
      </w: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ensure the Authority Supply Chain has the right people for the right job at the right time</w:t>
      </w: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cooperate and coordinate your work with others,</w:t>
      </w: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provide professional assurance that, (in accordance with the Construction Design and Management Regulations 2015) the “principal designer” and “principal contractor” are fulfilling their duties under Construction (Design and Management) Regulations 2015,</w:t>
      </w: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have the right information about the risks associated with the Project and how they will be managed by the Authority Supply Chain,</w:t>
      </w: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communicate this information effectively to those who need to know;</w:t>
      </w:r>
    </w:p>
    <w:p w:rsidR="009E72A7" w:rsidRPr="006449B7" w:rsidRDefault="009E72A7" w:rsidP="009E72A7">
      <w:pPr>
        <w:pStyle w:val="ListParagraph"/>
        <w:numPr>
          <w:ilvl w:val="0"/>
          <w:numId w:val="6"/>
        </w:numPr>
        <w:spacing w:after="160" w:line="259" w:lineRule="auto"/>
        <w:ind w:left="709" w:hanging="709"/>
        <w:rPr>
          <w:rFonts w:eastAsia="Times New Roman" w:cs="Arial"/>
          <w:kern w:val="36"/>
          <w:sz w:val="20"/>
          <w:szCs w:val="20"/>
          <w:lang w:eastAsia="en-GB"/>
        </w:rPr>
      </w:pPr>
      <w:r w:rsidRPr="006449B7">
        <w:rPr>
          <w:rFonts w:eastAsia="Times New Roman" w:cs="Arial"/>
          <w:kern w:val="36"/>
          <w:sz w:val="20"/>
          <w:szCs w:val="20"/>
          <w:lang w:eastAsia="en-GB"/>
        </w:rPr>
        <w:t>consult and engage with Authority Staff about the risks and how they are being managed</w:t>
      </w:r>
    </w:p>
    <w:p w:rsidR="009E72A7" w:rsidRPr="006449B7" w:rsidRDefault="009E72A7" w:rsidP="009E72A7">
      <w:pPr>
        <w:pStyle w:val="ListParagraph"/>
        <w:ind w:left="360"/>
        <w:rPr>
          <w:rFonts w:eastAsia="Times New Roman" w:cs="Arial"/>
          <w:kern w:val="36"/>
          <w:sz w:val="20"/>
          <w:szCs w:val="20"/>
          <w:lang w:eastAsia="en-GB"/>
        </w:rPr>
      </w:pPr>
    </w:p>
    <w:p w:rsidR="009E72A7" w:rsidRPr="006449B7" w:rsidRDefault="009E72A7" w:rsidP="009E72A7">
      <w:pPr>
        <w:pStyle w:val="ListParagraph"/>
        <w:numPr>
          <w:ilvl w:val="1"/>
          <w:numId w:val="3"/>
        </w:numPr>
        <w:ind w:left="709" w:hanging="709"/>
        <w:rPr>
          <w:rFonts w:eastAsia="Times New Roman" w:cs="Arial"/>
          <w:kern w:val="36"/>
          <w:sz w:val="20"/>
          <w:szCs w:val="20"/>
          <w:lang w:eastAsia="en-GB"/>
        </w:rPr>
      </w:pPr>
      <w:r w:rsidRPr="006449B7">
        <w:rPr>
          <w:rFonts w:eastAsia="Times New Roman" w:cs="Arial"/>
          <w:kern w:val="36"/>
          <w:sz w:val="20"/>
          <w:szCs w:val="20"/>
          <w:lang w:eastAsia="en-GB"/>
        </w:rPr>
        <w:t>The Supplier shall issue all appropriate and required notifications pursuant to the Construction (Design and Management) Regulations 2015, (in particular but not exclusively “F10” notifications). Where a notification is required, the Supplier shall send the notification to the Health and Safety Executive ensuring the Authority receives a copy of the notifications within 48 hours of the notification being issued,</w:t>
      </w:r>
    </w:p>
    <w:p w:rsidR="009E72A7" w:rsidRPr="006449B7" w:rsidRDefault="009E72A7" w:rsidP="009E72A7">
      <w:pPr>
        <w:ind w:firstLine="680"/>
        <w:rPr>
          <w:rFonts w:cs="Arial"/>
          <w:sz w:val="20"/>
          <w:szCs w:val="20"/>
        </w:rPr>
      </w:pPr>
      <w:r w:rsidRPr="006449B7">
        <w:rPr>
          <w:rFonts w:cs="Arial"/>
          <w:sz w:val="20"/>
          <w:szCs w:val="20"/>
        </w:rPr>
        <w:t>PROJECT START-UP</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ensure at the commencement of each project, a project start-up meeting is held with the Authority's local management and the Authority Supply Chain Member(s) responsible for project delivery to ensure local issues and working practices can be reviewed and agreed.</w:t>
      </w:r>
    </w:p>
    <w:p w:rsidR="009E72A7" w:rsidRPr="006449B7" w:rsidRDefault="009E72A7" w:rsidP="009E72A7">
      <w:pPr>
        <w:ind w:firstLine="680"/>
        <w:rPr>
          <w:rFonts w:cs="Arial"/>
          <w:sz w:val="20"/>
          <w:szCs w:val="20"/>
        </w:rPr>
      </w:pPr>
      <w:r w:rsidRPr="006449B7">
        <w:rPr>
          <w:rFonts w:cs="Arial"/>
          <w:sz w:val="20"/>
          <w:szCs w:val="20"/>
        </w:rPr>
        <w:t>AUDIT OF PROJECTS</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undertake audits of Projects (both completed Projects and also those in the process of being completed) to ensure the requirements of the Programme Management Solution are being satisfactorily complied with and, in particular, that risks are controlled to assure the services are being delivered with minimal disruption to the Authority Core Business. Audits are also required to ensure that Projects are completed to the required quality standard. The frequency and number of audits to be undertaken will be determined by the Authority from time to time.</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During the audit of a Project, should the Supplier identify a member of the Authority Supply Chain Member that is not operating in compliance with the minimum performance standards required under the relevant Authority Supply Chain Contract and/or in accordance with Good Industry Practice the Supplier shall take steps to rectify this non-performance to ensure the project is delivered in line with the agreed outcome, and notify the Authority forthwith of such non-compliance by the relevant Authority Supply Chain Member.</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During the audit of any project, should the Supplier identify that an Authority Supply Chain Member is in any way endangering themselves, any of their employees, sub-contractors or agents; b) the employees of the Authority Employees; or c) any other third party, then the Supplier shall take immediate action to ensure that the relevant Authority Supply Chain Member ceases such activities forthwith and the Supplier shall escalate the issue to the Authority by making the Authority aware as soon as practically possible and in any event within two (2) Working Days of the date on which the Supplier first identified such endangerment.</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ind w:left="680"/>
        <w:rPr>
          <w:rFonts w:cs="Arial"/>
          <w:sz w:val="20"/>
          <w:szCs w:val="20"/>
        </w:rPr>
      </w:pPr>
      <w:r w:rsidRPr="006449B7">
        <w:rPr>
          <w:rFonts w:cs="Arial"/>
          <w:sz w:val="20"/>
          <w:szCs w:val="20"/>
        </w:rPr>
        <w:t xml:space="preserve">MANAGEMENT OF LIFE CYCLE PROJECTS </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 xml:space="preserve">The Supplier shall directly provide, where required, the professional services duties in support of Life Cycle Projects. The Supplier shall ascertain which projects (typically low value, low complex Life Cycle Works)  do not require any or only partial professional services support where such services are being adequately covered directly by the appointed Authority Supply Chain Member appointed to deliver the project. </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ind w:left="680"/>
        <w:rPr>
          <w:rFonts w:cs="Arial"/>
          <w:sz w:val="20"/>
          <w:szCs w:val="20"/>
        </w:rPr>
      </w:pPr>
      <w:r w:rsidRPr="006449B7">
        <w:rPr>
          <w:rFonts w:cs="Arial"/>
          <w:sz w:val="20"/>
          <w:szCs w:val="20"/>
        </w:rPr>
        <w:t>MANAGEMENT OF CAPITAL WORKS PROJECTS</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709" w:hanging="709"/>
        <w:rPr>
          <w:rFonts w:cs="Arial"/>
          <w:sz w:val="20"/>
          <w:szCs w:val="20"/>
        </w:rPr>
      </w:pPr>
      <w:r w:rsidRPr="006449B7">
        <w:rPr>
          <w:rFonts w:cs="Arial"/>
          <w:sz w:val="20"/>
          <w:szCs w:val="20"/>
        </w:rPr>
        <w:t>With the exception of the Supplier’s Programme Management Office duties the Supplier shall allocate all other professional services duties in support of Capital Work projects to the most appropriate Authority Supply Chain Member using the Authority’s project work allocation process. Alternatively, the Supplier shall ascertain which projects (typically low value, low complex projects)  do not require any or only partial professional services support where such services are being adequately covered directly by the appointed Authority Supply Chain Member appointed to deliver the project.</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ind w:left="680"/>
        <w:rPr>
          <w:rFonts w:cs="Arial"/>
          <w:sz w:val="20"/>
          <w:szCs w:val="20"/>
        </w:rPr>
      </w:pPr>
      <w:r w:rsidRPr="006449B7">
        <w:rPr>
          <w:rFonts w:cs="Arial"/>
          <w:sz w:val="20"/>
          <w:szCs w:val="20"/>
        </w:rPr>
        <w:t>COORDINATION</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work with the Authority and Authority Supply Chain to coordinate all project work so to minimise any negative impact on the Authority core business and reduce costs, for example, synchronising project work so that multiple projects are executed simultaneously to reduce potential site closures or that planned maintenance is deferred or re-planned while project work is ongoing.</w:t>
      </w:r>
    </w:p>
    <w:p w:rsidR="009E72A7" w:rsidRPr="006449B7" w:rsidRDefault="009E72A7" w:rsidP="009E72A7">
      <w:pPr>
        <w:ind w:firstLine="680"/>
        <w:rPr>
          <w:rFonts w:cs="Arial"/>
          <w:sz w:val="20"/>
          <w:szCs w:val="20"/>
        </w:rPr>
      </w:pPr>
      <w:r w:rsidRPr="006449B7">
        <w:rPr>
          <w:rFonts w:cs="Arial"/>
          <w:sz w:val="20"/>
          <w:szCs w:val="20"/>
        </w:rPr>
        <w:t>PERFORMANCE REPORTING</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The Supplier shall establish a performance reporting process that will provide the Authority with an evaluation of all of the suppliers' performances on a project by project basis. The evaluation criteria and measures to be used in the evaluation will be subject to the Authority’s Approval and will vary according to each discipline. </w:t>
      </w:r>
    </w:p>
    <w:p w:rsidR="009E72A7" w:rsidRPr="006449B7" w:rsidRDefault="009E72A7" w:rsidP="009E72A7">
      <w:pPr>
        <w:pStyle w:val="ListParagraph"/>
        <w:ind w:left="680"/>
        <w:rPr>
          <w:rFonts w:cs="Arial"/>
          <w:b/>
          <w:sz w:val="20"/>
          <w:szCs w:val="20"/>
        </w:rPr>
      </w:pPr>
    </w:p>
    <w:p w:rsidR="009E72A7" w:rsidRPr="006449B7" w:rsidRDefault="009E72A7" w:rsidP="009E72A7">
      <w:pPr>
        <w:pStyle w:val="ListParagraph"/>
        <w:numPr>
          <w:ilvl w:val="0"/>
          <w:numId w:val="3"/>
        </w:numPr>
        <w:ind w:left="709" w:hanging="709"/>
        <w:rPr>
          <w:rFonts w:cs="Arial"/>
          <w:b/>
          <w:sz w:val="20"/>
          <w:szCs w:val="20"/>
        </w:rPr>
      </w:pPr>
      <w:r w:rsidRPr="006449B7">
        <w:rPr>
          <w:rFonts w:cs="Arial"/>
          <w:b/>
          <w:sz w:val="20"/>
          <w:szCs w:val="20"/>
        </w:rPr>
        <w:t>FF&amp;E MANAGEMENT</w:t>
      </w:r>
    </w:p>
    <w:p w:rsidR="009E72A7" w:rsidRPr="006449B7" w:rsidRDefault="009E72A7" w:rsidP="009E72A7">
      <w:pPr>
        <w:pStyle w:val="ListParagraph"/>
        <w:ind w:left="680" w:hanging="680"/>
        <w:rPr>
          <w:rFonts w:cs="Arial"/>
          <w:b/>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Authority aims to provide suitable and appropriate workplace for all Authority Employees to ensure effective and efficient delivery of the Authority Core Business, including:</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0"/>
          <w:numId w:val="1"/>
        </w:numPr>
        <w:ind w:left="709" w:hanging="709"/>
        <w:rPr>
          <w:rFonts w:cs="Arial"/>
          <w:sz w:val="20"/>
          <w:szCs w:val="20"/>
        </w:rPr>
      </w:pPr>
      <w:r w:rsidRPr="006449B7">
        <w:rPr>
          <w:rFonts w:cs="Arial"/>
          <w:sz w:val="20"/>
          <w:szCs w:val="20"/>
        </w:rPr>
        <w:t>workplace design appropriate to the operations taking place, and;</w:t>
      </w:r>
    </w:p>
    <w:p w:rsidR="009E72A7" w:rsidRPr="006449B7" w:rsidRDefault="009E72A7" w:rsidP="009E72A7">
      <w:pPr>
        <w:pStyle w:val="ListParagraph"/>
        <w:numPr>
          <w:ilvl w:val="0"/>
          <w:numId w:val="1"/>
        </w:numPr>
        <w:ind w:left="709" w:hanging="709"/>
        <w:rPr>
          <w:rFonts w:cs="Arial"/>
          <w:sz w:val="20"/>
          <w:szCs w:val="20"/>
        </w:rPr>
      </w:pPr>
      <w:proofErr w:type="gramStart"/>
      <w:r w:rsidRPr="006449B7">
        <w:rPr>
          <w:rFonts w:cs="Arial"/>
          <w:sz w:val="20"/>
          <w:szCs w:val="20"/>
        </w:rPr>
        <w:t>ergonomic</w:t>
      </w:r>
      <w:proofErr w:type="gramEnd"/>
      <w:r w:rsidRPr="006449B7">
        <w:rPr>
          <w:rFonts w:cs="Arial"/>
          <w:sz w:val="20"/>
          <w:szCs w:val="20"/>
        </w:rPr>
        <w:t xml:space="preserve"> workspaces as required by Authority Employees.</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Authority will:</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Procure direct supply agreements with a number of FF&amp;E suppliers to cover the significant majority of all FF&amp;E requirements. These agreements will be compiled into catalogues (</w:t>
      </w:r>
      <w:r w:rsidRPr="006449B7">
        <w:rPr>
          <w:rFonts w:cs="Arial"/>
          <w:b/>
          <w:sz w:val="20"/>
          <w:szCs w:val="20"/>
        </w:rPr>
        <w:t>Product Catalogues</w:t>
      </w:r>
      <w:r w:rsidRPr="006449B7">
        <w:rPr>
          <w:rFonts w:cs="Arial"/>
          <w:sz w:val="20"/>
          <w:szCs w:val="20"/>
        </w:rPr>
        <w:t xml:space="preserve">) and form part of the Design Standards (supporting the “Smart Working” programme on both running the estate and change the estate projects). For the small minority of requirements not covered by these agreements, the Supplier shall agree with the Authority a suitable procurement route/channel. </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Be the custodians of the FF&amp;E design standards. The FF&amp;E design standards shall provide a core list of all FF&amp;E products that have been pre-approved and support all of the estates standard FF&amp;E requirements to meet the Smart Working office design and Job Centre design standards.</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Issue instructions to the Supplier for the provision of such Fixtures and Equipment as may be required from time to time.</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Provide an occupational health (OH) policy and procedure and provide FF&amp;E process maps to be followed by the Authority Supply Chain (including the Supplier). </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For ‘out of the box’ FF&amp;E that requires minimum assembly or installation, Authority staff (who originate Work Orders for FF&amp;E) shall have the option to accept delivery directly from the FF&amp;E provider making deliveries to their site. Alternatively the order can request the Authority Supply Chain complete the onsite delivery. </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Be responsible for </w:t>
      </w:r>
      <w:proofErr w:type="gramStart"/>
      <w:r w:rsidRPr="006449B7">
        <w:rPr>
          <w:rFonts w:cs="Arial"/>
          <w:sz w:val="20"/>
          <w:szCs w:val="20"/>
        </w:rPr>
        <w:t>Approving</w:t>
      </w:r>
      <w:proofErr w:type="gramEnd"/>
      <w:r w:rsidRPr="006449B7">
        <w:rPr>
          <w:rFonts w:cs="Arial"/>
          <w:sz w:val="20"/>
          <w:szCs w:val="20"/>
        </w:rPr>
        <w:t xml:space="preserve"> any FF&amp;E products that are requested by the business that are not part of any pre-approved catalogue.</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During the Implementation Phase, (by no later than the Acceptance Tests Completion Date), provide for Approval by the Authority and as part of the System, the format of and plan for the creation of an electronic register of an FF&amp;E equipment, and processes for maintaining an accurate and error free register and how new FF&amp;E items will be dealt with and how the Authority Supply Chain Member responsible for Facilities Management will assist in this work.</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Once the FF&amp;E equipment register format and process for maintaining is agreed with the Authority, the Supplier shall commence compiling the FF&amp;E equipment register and ensure this is fully complete within 12 Months from the Operational Services Commencement Date.</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Once the FF&amp;E equipment register is complete and Approved by the Authority, the Supplier shall be accountable for accurately maintaining the FF&amp;E equipment register. The FF&amp;E equipment register shall be made available to the Authority within the System at all times and shall include:</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0"/>
          <w:numId w:val="2"/>
        </w:numPr>
        <w:ind w:left="709" w:hanging="709"/>
        <w:rPr>
          <w:rFonts w:cs="Arial"/>
          <w:sz w:val="20"/>
          <w:szCs w:val="20"/>
        </w:rPr>
      </w:pPr>
      <w:r w:rsidRPr="006449B7">
        <w:rPr>
          <w:rFonts w:cs="Arial"/>
          <w:sz w:val="20"/>
          <w:szCs w:val="20"/>
        </w:rPr>
        <w:t>a description and classification of asset, (using taxonomy to be Approved by the Authority),</w:t>
      </w:r>
    </w:p>
    <w:p w:rsidR="009E72A7" w:rsidRPr="006449B7" w:rsidRDefault="009E72A7" w:rsidP="009E72A7">
      <w:pPr>
        <w:pStyle w:val="ListParagraph"/>
        <w:numPr>
          <w:ilvl w:val="0"/>
          <w:numId w:val="2"/>
        </w:numPr>
        <w:ind w:left="709" w:hanging="709"/>
        <w:rPr>
          <w:rFonts w:cs="Arial"/>
          <w:sz w:val="20"/>
          <w:szCs w:val="20"/>
        </w:rPr>
      </w:pPr>
      <w:r w:rsidRPr="006449B7">
        <w:rPr>
          <w:rFonts w:cs="Arial"/>
          <w:sz w:val="20"/>
          <w:szCs w:val="20"/>
        </w:rPr>
        <w:t>the location by building and floor / zone,</w:t>
      </w:r>
    </w:p>
    <w:p w:rsidR="009E72A7" w:rsidRPr="006449B7" w:rsidRDefault="009E72A7" w:rsidP="009E72A7">
      <w:pPr>
        <w:pStyle w:val="ListParagraph"/>
        <w:numPr>
          <w:ilvl w:val="0"/>
          <w:numId w:val="2"/>
        </w:numPr>
        <w:ind w:left="709" w:hanging="709"/>
        <w:rPr>
          <w:rFonts w:cs="Arial"/>
          <w:sz w:val="20"/>
          <w:szCs w:val="20"/>
        </w:rPr>
      </w:pPr>
      <w:r w:rsidRPr="006449B7">
        <w:rPr>
          <w:rFonts w:cs="Arial"/>
          <w:sz w:val="20"/>
          <w:szCs w:val="20"/>
        </w:rPr>
        <w:t>manufacturer / supplier details,</w:t>
      </w:r>
    </w:p>
    <w:p w:rsidR="009E72A7" w:rsidRPr="006449B7" w:rsidRDefault="009E72A7" w:rsidP="009E72A7">
      <w:pPr>
        <w:pStyle w:val="ListParagraph"/>
        <w:numPr>
          <w:ilvl w:val="0"/>
          <w:numId w:val="2"/>
        </w:numPr>
        <w:ind w:left="709" w:hanging="709"/>
        <w:rPr>
          <w:rFonts w:cs="Arial"/>
          <w:sz w:val="20"/>
          <w:szCs w:val="20"/>
        </w:rPr>
      </w:pPr>
      <w:r w:rsidRPr="006449B7">
        <w:rPr>
          <w:rFonts w:cs="Arial"/>
          <w:sz w:val="20"/>
          <w:szCs w:val="20"/>
        </w:rPr>
        <w:t>warranty expiry date,</w:t>
      </w:r>
    </w:p>
    <w:p w:rsidR="009E72A7" w:rsidRPr="006449B7" w:rsidRDefault="009E72A7" w:rsidP="009E72A7">
      <w:pPr>
        <w:pStyle w:val="ListParagraph"/>
        <w:numPr>
          <w:ilvl w:val="0"/>
          <w:numId w:val="2"/>
        </w:numPr>
        <w:ind w:left="709" w:hanging="709"/>
        <w:rPr>
          <w:rFonts w:cs="Arial"/>
          <w:sz w:val="20"/>
          <w:szCs w:val="20"/>
        </w:rPr>
      </w:pPr>
      <w:r w:rsidRPr="006449B7">
        <w:rPr>
          <w:rFonts w:cs="Arial"/>
          <w:sz w:val="20"/>
          <w:szCs w:val="20"/>
        </w:rPr>
        <w:t>if appropriate, (given economic and value for money considerations), a unique identifier</w:t>
      </w:r>
    </w:p>
    <w:p w:rsidR="009E72A7" w:rsidRPr="006449B7" w:rsidRDefault="009E72A7" w:rsidP="009E72A7">
      <w:pPr>
        <w:pStyle w:val="ListParagraph"/>
        <w:numPr>
          <w:ilvl w:val="0"/>
          <w:numId w:val="2"/>
        </w:numPr>
        <w:ind w:left="709" w:hanging="709"/>
        <w:rPr>
          <w:rFonts w:cs="Arial"/>
          <w:sz w:val="20"/>
          <w:szCs w:val="20"/>
        </w:rPr>
      </w:pPr>
      <w:proofErr w:type="gramStart"/>
      <w:r w:rsidRPr="006449B7">
        <w:rPr>
          <w:rFonts w:cs="Arial"/>
          <w:sz w:val="20"/>
          <w:szCs w:val="20"/>
        </w:rPr>
        <w:t>asset</w:t>
      </w:r>
      <w:proofErr w:type="gramEnd"/>
      <w:r w:rsidRPr="006449B7">
        <w:rPr>
          <w:rFonts w:cs="Arial"/>
          <w:sz w:val="20"/>
          <w:szCs w:val="20"/>
        </w:rPr>
        <w:t xml:space="preserve"> value in accordance with the capital assets guidelines to be provided by the Authority during the Implementation Period.</w:t>
      </w:r>
    </w:p>
    <w:p w:rsidR="009E72A7" w:rsidRPr="006449B7" w:rsidRDefault="009E72A7" w:rsidP="009E72A7">
      <w:pPr>
        <w:ind w:firstLine="680"/>
        <w:rPr>
          <w:rFonts w:cs="Arial"/>
          <w:sz w:val="20"/>
          <w:szCs w:val="20"/>
        </w:rPr>
      </w:pPr>
      <w:r w:rsidRPr="006449B7">
        <w:rPr>
          <w:rFonts w:cs="Arial"/>
          <w:sz w:val="20"/>
          <w:szCs w:val="20"/>
        </w:rPr>
        <w:t>PRE-EXISTING FF&amp;E EQUIPMENT</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For the maintenance and repair of all existing FF&amp;E under warranty, the Authority will ensure all warranty rights and any maintenance service contracts will be made available for use by the Authority Supply Chain Member responsible for Facilities Management (this may include novation or assignment of such rights). </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The Supplier shall ensure any call into the Helpdesk relating to potentially faulty FF&amp;E shall be assigned to the Authority Supply Chain Member responsible for Facilities Management. If appropriate, the Supplier shall raise a Work Order to the Authority Supply Chain Member responsible for Facilities Management who will:</w:t>
      </w:r>
    </w:p>
    <w:p w:rsidR="009E72A7" w:rsidRPr="006449B7" w:rsidRDefault="009E72A7" w:rsidP="009E72A7">
      <w:pPr>
        <w:pStyle w:val="ListParagraph"/>
        <w:rPr>
          <w:rFonts w:cs="Arial"/>
          <w:sz w:val="20"/>
          <w:szCs w:val="20"/>
        </w:rPr>
      </w:pP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understand whether the FF&amp;E is under warranty, and if so, engage the warranty provider,</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 xml:space="preserve">should the FF&amp;E asset not be covered under warranty, assess the cost-benefit of undertaking a repair of the asset then either </w:t>
      </w:r>
      <w:proofErr w:type="spellStart"/>
      <w:r w:rsidRPr="006449B7">
        <w:rPr>
          <w:rFonts w:cs="Arial"/>
          <w:sz w:val="20"/>
          <w:szCs w:val="20"/>
        </w:rPr>
        <w:t>i</w:t>
      </w:r>
      <w:proofErr w:type="spellEnd"/>
      <w:r w:rsidRPr="006449B7">
        <w:rPr>
          <w:rFonts w:cs="Arial"/>
          <w:sz w:val="20"/>
          <w:szCs w:val="20"/>
        </w:rPr>
        <w:t>) repair the asset and update the FF&amp;E register or ii) replace the FF&amp;E item with stock / recycled FF&amp;E assets of a similar grade / functionality and then suitably dispose of the old / replaced asset, (disposal method to be agreed with the Authority), and;</w:t>
      </w:r>
    </w:p>
    <w:p w:rsidR="009E72A7" w:rsidRPr="006449B7" w:rsidRDefault="009E72A7" w:rsidP="009E72A7">
      <w:pPr>
        <w:pStyle w:val="ListParagraph"/>
        <w:numPr>
          <w:ilvl w:val="2"/>
          <w:numId w:val="3"/>
        </w:numPr>
        <w:ind w:left="709" w:hanging="709"/>
        <w:rPr>
          <w:rFonts w:cs="Arial"/>
          <w:sz w:val="20"/>
          <w:szCs w:val="20"/>
        </w:rPr>
      </w:pPr>
      <w:proofErr w:type="gramStart"/>
      <w:r w:rsidRPr="006449B7">
        <w:rPr>
          <w:rFonts w:cs="Arial"/>
          <w:sz w:val="20"/>
          <w:szCs w:val="20"/>
        </w:rPr>
        <w:t>scope</w:t>
      </w:r>
      <w:proofErr w:type="gramEnd"/>
      <w:r w:rsidRPr="006449B7">
        <w:rPr>
          <w:rFonts w:cs="Arial"/>
          <w:sz w:val="20"/>
          <w:szCs w:val="20"/>
        </w:rPr>
        <w:t xml:space="preserve"> the requirement to procure a replacement and, via the Helpdesk, request the Supplier raises a Work Order for the procurement of replacement FF&amp;E.</w:t>
      </w:r>
    </w:p>
    <w:p w:rsidR="009E72A7" w:rsidRPr="006449B7" w:rsidRDefault="009E72A7" w:rsidP="009E72A7">
      <w:pPr>
        <w:ind w:firstLine="680"/>
        <w:rPr>
          <w:rFonts w:cs="Arial"/>
          <w:sz w:val="20"/>
          <w:szCs w:val="20"/>
        </w:rPr>
      </w:pPr>
      <w:r w:rsidRPr="006449B7">
        <w:rPr>
          <w:rFonts w:cs="Arial"/>
          <w:sz w:val="20"/>
          <w:szCs w:val="20"/>
        </w:rPr>
        <w:t>NEW FF&amp;E REQUESTS</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The Supplier shall ensure all requests for new FF&amp;E shall be initially channelled to the Authority Supply Chain Member responsible for Facilities Management, (via a Work Order per request), who will visit the Site and ascertain/confirm the business requirement, undertake any occupational health assessment and determine the most appropriate solution, (i.e. procure new or use recycled) and if appropriate, provide a quotation for “variable” spend items. </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Any requests that are outside the scope of Authority Supply Chain Member responsible for Facilities Management shall be channelled through the “purchasing service” process outlined in Section 7 or to a nominated supplier as advised by the Authority.</w:t>
      </w:r>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When new, (or recycled), FF&amp;E is deployed within the Authority Premises, the Supplier shall ensure the FF&amp;E Register is fully updated and maintained.</w:t>
      </w:r>
    </w:p>
    <w:p w:rsidR="009E72A7" w:rsidRPr="006449B7" w:rsidRDefault="009E72A7" w:rsidP="009E72A7">
      <w:pPr>
        <w:ind w:firstLine="680"/>
        <w:rPr>
          <w:rFonts w:cs="Arial"/>
          <w:sz w:val="20"/>
          <w:szCs w:val="20"/>
        </w:rPr>
      </w:pPr>
      <w:r w:rsidRPr="006449B7">
        <w:rPr>
          <w:rFonts w:cs="Arial"/>
          <w:sz w:val="20"/>
          <w:szCs w:val="20"/>
        </w:rPr>
        <w:t>FF&amp;E RECYCLING AND DISPOSAL</w:t>
      </w:r>
    </w:p>
    <w:p w:rsidR="009E72A7" w:rsidRPr="006449B7" w:rsidRDefault="009E72A7" w:rsidP="009E72A7">
      <w:pPr>
        <w:pStyle w:val="ListParagraph"/>
        <w:numPr>
          <w:ilvl w:val="1"/>
          <w:numId w:val="3"/>
        </w:numPr>
        <w:ind w:left="680" w:hanging="680"/>
        <w:rPr>
          <w:rFonts w:cs="Arial"/>
          <w:sz w:val="20"/>
          <w:szCs w:val="20"/>
        </w:rPr>
      </w:pPr>
      <w:r w:rsidRPr="006449B7">
        <w:rPr>
          <w:rFonts w:cs="Arial"/>
          <w:sz w:val="20"/>
          <w:szCs w:val="20"/>
        </w:rPr>
        <w:t xml:space="preserve">When FF&amp;E becomes spare or not required it may be advertised to other Government departments via the “Re-Use-Notice-Board”, (link below). The proceeds of any furniture disposal shall be returned to the Authority as soon as practicably possible or in any event within twenty (20) Working Days from receipt. </w:t>
      </w:r>
      <w:hyperlink r:id="rId5" w:history="1">
        <w:r w:rsidRPr="006449B7">
          <w:rPr>
            <w:rFonts w:cs="Arial"/>
            <w:sz w:val="20"/>
            <w:szCs w:val="20"/>
          </w:rPr>
          <w:t>http://ccs-agreements.cabinetoffice.gov.uk/re-use-items</w:t>
        </w:r>
      </w:hyperlink>
    </w:p>
    <w:p w:rsidR="009E72A7" w:rsidRPr="006449B7" w:rsidRDefault="009E72A7" w:rsidP="009E72A7">
      <w:pPr>
        <w:pStyle w:val="ListParagraph"/>
        <w:ind w:left="680"/>
        <w:rPr>
          <w:rFonts w:cs="Arial"/>
          <w:sz w:val="20"/>
          <w:szCs w:val="20"/>
        </w:rPr>
      </w:pPr>
    </w:p>
    <w:p w:rsidR="009E72A7" w:rsidRPr="006449B7" w:rsidRDefault="009E72A7" w:rsidP="009E72A7">
      <w:pPr>
        <w:pStyle w:val="ListParagraph"/>
        <w:numPr>
          <w:ilvl w:val="1"/>
          <w:numId w:val="3"/>
        </w:numPr>
        <w:ind w:left="680" w:hanging="680"/>
        <w:rPr>
          <w:rStyle w:val="Hyperlink"/>
          <w:rFonts w:cs="Arial"/>
          <w:sz w:val="20"/>
          <w:szCs w:val="20"/>
        </w:rPr>
      </w:pPr>
      <w:r w:rsidRPr="006449B7">
        <w:rPr>
          <w:rFonts w:cs="Arial"/>
          <w:sz w:val="20"/>
          <w:szCs w:val="20"/>
        </w:rPr>
        <w:t>All FF&amp;E not re-used shall be disposed of in accordance with the principles set</w:t>
      </w:r>
      <w:r w:rsidRPr="006449B7">
        <w:rPr>
          <w:rFonts w:cs="Arial"/>
          <w:bCs/>
          <w:sz w:val="20"/>
          <w:szCs w:val="20"/>
        </w:rPr>
        <w:t xml:space="preserve"> out in the policy on Greening Government Commitments. </w:t>
      </w:r>
      <w:hyperlink r:id="rId6" w:history="1">
        <w:r w:rsidRPr="006449B7">
          <w:rPr>
            <w:rStyle w:val="Hyperlink"/>
            <w:rFonts w:cs="Arial"/>
            <w:bCs/>
            <w:sz w:val="20"/>
            <w:szCs w:val="20"/>
          </w:rPr>
          <w:t>www.greeninggovernment.co.uk</w:t>
        </w:r>
      </w:hyperlink>
    </w:p>
    <w:p w:rsidR="009E72A7" w:rsidRPr="006449B7" w:rsidRDefault="009E72A7" w:rsidP="009E72A7">
      <w:pPr>
        <w:pStyle w:val="ListParagraph"/>
        <w:rPr>
          <w:rStyle w:val="Hyperlink"/>
          <w:rFonts w:cs="Arial"/>
          <w:sz w:val="20"/>
          <w:szCs w:val="20"/>
        </w:rPr>
      </w:pPr>
    </w:p>
    <w:p w:rsidR="009E72A7" w:rsidRPr="006449B7" w:rsidRDefault="009E72A7" w:rsidP="009E72A7">
      <w:pPr>
        <w:pStyle w:val="ListParagraph"/>
        <w:numPr>
          <w:ilvl w:val="1"/>
          <w:numId w:val="3"/>
        </w:numPr>
        <w:ind w:left="680" w:hanging="680"/>
        <w:rPr>
          <w:rStyle w:val="Hyperlink"/>
          <w:rFonts w:cs="Arial"/>
          <w:sz w:val="20"/>
          <w:szCs w:val="20"/>
        </w:rPr>
      </w:pPr>
      <w:r w:rsidRPr="006449B7">
        <w:rPr>
          <w:rStyle w:val="Hyperlink"/>
          <w:rFonts w:cs="Arial"/>
          <w:sz w:val="20"/>
          <w:szCs w:val="20"/>
        </w:rPr>
        <w:t xml:space="preserve">For the avoidance of doubt, the role of the Authority Supply Chain Member for Facilities Management shall include (but not be limited to) the items below. The Supplier shall manage the Authority Supply Chain Member responsible for Facilities Management to ensure </w:t>
      </w:r>
      <w:r>
        <w:rPr>
          <w:rStyle w:val="Hyperlink"/>
          <w:rFonts w:cs="Arial"/>
          <w:sz w:val="20"/>
          <w:szCs w:val="20"/>
        </w:rPr>
        <w:t>all contractual obligations are fully delivered</w:t>
      </w:r>
      <w:r w:rsidRPr="006449B7">
        <w:rPr>
          <w:rStyle w:val="Hyperlink"/>
          <w:rFonts w:cs="Arial"/>
          <w:sz w:val="20"/>
          <w:szCs w:val="20"/>
        </w:rPr>
        <w:t>:</w:t>
      </w:r>
    </w:p>
    <w:p w:rsidR="009E72A7" w:rsidRPr="006449B7" w:rsidRDefault="009E72A7" w:rsidP="009E72A7">
      <w:pPr>
        <w:pStyle w:val="ListParagraph"/>
        <w:ind w:left="709"/>
        <w:rPr>
          <w:rFonts w:cs="Arial"/>
          <w:sz w:val="20"/>
          <w:szCs w:val="20"/>
        </w:rPr>
      </w:pP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Co-ordination of the delivery and installation of new furniture from the supplier/s of the direct supply agreements,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Provision of on-site acceptance, and installation services in relation to some ‘out of the box’ FF&amp;E deliveries received from suppliers,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 xml:space="preserve">Supply of some of the Authority routine, day to day Fixtures and Equipment requirements; </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 xml:space="preserve">Receiving Work Orders from the Supplier and responding to priority level call outs to attend sites for the making safe, maintenance and repair of out of warranty FF&amp;E; </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Where economically viable, provision of storage facilities and managing a register stock-holding of all second hand FF&amp;E surplus stock including a delivery and installation service,</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Provision of an economic and operational viability assessment on whether FF&amp;E assets that are no longer in warranty, are beyond economic repair, replaced from surplus stock or ordered new from the FF&amp;E suppliers,</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 xml:space="preserve">Provision of support to other members of the supply chain in keeping the onsite and surplus storage FF&amp;E asset register up to date, </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Asset tagging service, and;</w:t>
      </w:r>
    </w:p>
    <w:p w:rsidR="009E72A7" w:rsidRPr="006449B7" w:rsidRDefault="009E72A7" w:rsidP="009E72A7">
      <w:pPr>
        <w:pStyle w:val="ListParagraph"/>
        <w:numPr>
          <w:ilvl w:val="2"/>
          <w:numId w:val="3"/>
        </w:numPr>
        <w:ind w:left="709" w:hanging="709"/>
        <w:rPr>
          <w:rFonts w:cs="Arial"/>
          <w:sz w:val="20"/>
          <w:szCs w:val="20"/>
        </w:rPr>
      </w:pPr>
      <w:r w:rsidRPr="006449B7">
        <w:rPr>
          <w:rFonts w:cs="Arial"/>
          <w:sz w:val="20"/>
          <w:szCs w:val="20"/>
        </w:rPr>
        <w:t>Recycling and disposal of obsolete FF&amp;E.</w:t>
      </w:r>
    </w:p>
    <w:p w:rsidR="009E72A7" w:rsidRPr="006449B7" w:rsidRDefault="009E72A7" w:rsidP="009E72A7">
      <w:pPr>
        <w:pStyle w:val="ListParagraph"/>
        <w:ind w:left="709"/>
        <w:rPr>
          <w:rFonts w:cs="Arial"/>
          <w:sz w:val="20"/>
          <w:szCs w:val="20"/>
        </w:rPr>
      </w:pPr>
    </w:p>
    <w:p w:rsidR="00D70B35" w:rsidRDefault="00D70B35"/>
    <w:sectPr w:rsidR="00D70B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A3E79"/>
    <w:multiLevelType w:val="hybridMultilevel"/>
    <w:tmpl w:val="568A6E40"/>
    <w:lvl w:ilvl="0" w:tplc="FCCA8E98">
      <w:start w:val="1"/>
      <w:numFmt w:val="lowerLetter"/>
      <w:lvlText w:val="%1)"/>
      <w:lvlJc w:val="left"/>
      <w:pPr>
        <w:ind w:left="360" w:hanging="360"/>
      </w:pPr>
      <w:rPr>
        <w:rFonts w:ascii="Arial" w:eastAsia="Times New Roman" w:hAnsi="Arial" w:cs="Arial"/>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3C124B4D"/>
    <w:multiLevelType w:val="hybridMultilevel"/>
    <w:tmpl w:val="9F540172"/>
    <w:lvl w:ilvl="0" w:tplc="701EAB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44FE7F2F"/>
    <w:multiLevelType w:val="multilevel"/>
    <w:tmpl w:val="E3665B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862" w:hanging="720"/>
      </w:pPr>
      <w:rPr>
        <w:rFonts w:ascii="Arial" w:eastAsiaTheme="minorHAnsi" w:hAnsi="Arial" w:cs="Arial"/>
      </w:rPr>
    </w:lvl>
    <w:lvl w:ilvl="3">
      <w:start w:val="1"/>
      <w:numFmt w:val="lowerLetter"/>
      <w:lvlText w:val="%4)"/>
      <w:lvlJc w:val="right"/>
      <w:pPr>
        <w:ind w:left="720" w:hanging="720"/>
      </w:pPr>
      <w:rPr>
        <w:rFonts w:ascii="Arial" w:eastAsiaTheme="minorHAnsi"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DB4642"/>
    <w:multiLevelType w:val="multilevel"/>
    <w:tmpl w:val="1BF854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862" w:hanging="720"/>
      </w:pPr>
      <w:rPr>
        <w:rFonts w:ascii="Arial" w:eastAsiaTheme="minorHAnsi" w:hAnsi="Arial" w:cs="Arial"/>
      </w:rPr>
    </w:lvl>
    <w:lvl w:ilvl="3">
      <w:start w:val="1"/>
      <w:numFmt w:val="lowerRoman"/>
      <w:lvlText w:val="%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5745BD6"/>
    <w:multiLevelType w:val="multilevel"/>
    <w:tmpl w:val="B258728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Arial" w:eastAsiaTheme="minorHAnsi" w:hAnsi="Arial" w:cs="Arial"/>
      </w:rPr>
    </w:lvl>
    <w:lvl w:ilvl="3">
      <w:start w:val="1"/>
      <w:numFmt w:val="lowerLetter"/>
      <w:lvlText w:val="%4)"/>
      <w:lvlJc w:val="right"/>
      <w:pPr>
        <w:ind w:left="720" w:hanging="720"/>
      </w:pPr>
      <w:rPr>
        <w:rFonts w:ascii="Arial" w:eastAsiaTheme="minorHAnsi"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66E3359"/>
    <w:multiLevelType w:val="hybridMultilevel"/>
    <w:tmpl w:val="C09A49D0"/>
    <w:lvl w:ilvl="0" w:tplc="6856017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2A7"/>
    <w:rsid w:val="00191A0D"/>
    <w:rsid w:val="001C7F31"/>
    <w:rsid w:val="00320717"/>
    <w:rsid w:val="003B5977"/>
    <w:rsid w:val="0056463F"/>
    <w:rsid w:val="009E72A7"/>
    <w:rsid w:val="00C20588"/>
    <w:rsid w:val="00D70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6B61BB-0DAC-4F97-982F-272FD40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2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2A7"/>
    <w:pPr>
      <w:ind w:left="720"/>
      <w:contextualSpacing/>
    </w:pPr>
  </w:style>
  <w:style w:type="character" w:styleId="Hyperlink">
    <w:name w:val="Hyperlink"/>
    <w:basedOn w:val="DefaultParagraphFont"/>
    <w:uiPriority w:val="99"/>
    <w:unhideWhenUsed/>
    <w:rsid w:val="009E72A7"/>
    <w:rPr>
      <w:color w:val="0000FF" w:themeColor="hyperlink"/>
      <w:u w:val="single"/>
    </w:rPr>
  </w:style>
  <w:style w:type="character" w:customStyle="1" w:styleId="ListParagraphChar">
    <w:name w:val="List Paragraph Char"/>
    <w:basedOn w:val="DefaultParagraphFont"/>
    <w:link w:val="ListParagraph"/>
    <w:uiPriority w:val="34"/>
    <w:locked/>
    <w:rsid w:val="009E7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eeninggovernment.co.uk" TargetMode="External"/><Relationship Id="rId5" Type="http://schemas.openxmlformats.org/officeDocument/2006/relationships/hyperlink" Target="http://ccs-agreements.cabinetoffice.gov.uk/re-use-ite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26351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Wessendorff Mark DWP FINANCE &amp; COMMERCIAL</dc:creator>
  <cp:lastModifiedBy>Macconnell Malcolm DWP COMMERCIAL DIRECTORATE</cp:lastModifiedBy>
  <cp:revision>2</cp:revision>
  <dcterms:created xsi:type="dcterms:W3CDTF">2017-11-10T08:43:00Z</dcterms:created>
  <dcterms:modified xsi:type="dcterms:W3CDTF">2017-11-10T08:43:00Z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